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5"/>
        <w:gridCol w:w="3422"/>
        <w:gridCol w:w="3287"/>
      </w:tblGrid>
      <w:tr w:rsidR="00522C6C" w14:paraId="168FE7C4" w14:textId="77777777" w:rsidTr="00FB4259">
        <w:tc>
          <w:tcPr>
            <w:tcW w:w="1838" w:type="dxa"/>
          </w:tcPr>
          <w:p w14:paraId="6AD9EA5E" w14:textId="77777777" w:rsidR="00522C6C" w:rsidRPr="00F57173" w:rsidRDefault="00522C6C" w:rsidP="00FB4259">
            <w:pPr>
              <w:pStyle w:val="section1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24776050"/>
            <w:r>
              <w:rPr>
                <w:rFonts w:asciiTheme="minorHAnsi" w:hAnsiTheme="minorHAnsi" w:cstheme="minorHAnsi"/>
                <w:b/>
                <w:bCs/>
              </w:rPr>
              <w:t>Operação</w:t>
            </w:r>
          </w:p>
        </w:tc>
        <w:tc>
          <w:tcPr>
            <w:tcW w:w="3686" w:type="dxa"/>
          </w:tcPr>
          <w:p w14:paraId="45011547" w14:textId="77777777" w:rsidR="00522C6C" w:rsidRPr="00F57173" w:rsidRDefault="00522C6C" w:rsidP="00FB4259">
            <w:pPr>
              <w:pStyle w:val="section1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7173">
              <w:rPr>
                <w:rFonts w:asciiTheme="minorHAnsi" w:hAnsiTheme="minorHAnsi" w:cstheme="minorHAnsi"/>
                <w:b/>
                <w:bCs/>
              </w:rPr>
              <w:t>Circular nº 3.689/2013</w:t>
            </w:r>
          </w:p>
        </w:tc>
        <w:tc>
          <w:tcPr>
            <w:tcW w:w="3530" w:type="dxa"/>
          </w:tcPr>
          <w:p w14:paraId="559A2BD2" w14:textId="77777777" w:rsidR="00522C6C" w:rsidRPr="005B288C" w:rsidRDefault="00522C6C" w:rsidP="00FB4259">
            <w:pPr>
              <w:pStyle w:val="section1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88C">
              <w:rPr>
                <w:rFonts w:asciiTheme="minorHAnsi" w:hAnsiTheme="minorHAnsi" w:cstheme="minorHAnsi"/>
                <w:b/>
                <w:bCs/>
              </w:rPr>
              <w:t>Resolução BCB n</w:t>
            </w:r>
            <w:r>
              <w:rPr>
                <w:rFonts w:asciiTheme="minorHAnsi" w:hAnsiTheme="minorHAnsi" w:cstheme="minorHAnsi"/>
                <w:b/>
                <w:bCs/>
              </w:rPr>
              <w:t>º</w:t>
            </w:r>
            <w:r w:rsidRPr="005B288C">
              <w:rPr>
                <w:rFonts w:asciiTheme="minorHAnsi" w:hAnsiTheme="minorHAnsi" w:cstheme="minorHAnsi"/>
                <w:b/>
                <w:bCs/>
              </w:rPr>
              <w:t xml:space="preserve"> 278/2022</w:t>
            </w:r>
          </w:p>
        </w:tc>
      </w:tr>
      <w:tr w:rsidR="00522C6C" w:rsidRPr="001465A6" w14:paraId="5200B4B9" w14:textId="77777777" w:rsidTr="00FB4259">
        <w:tc>
          <w:tcPr>
            <w:tcW w:w="1838" w:type="dxa"/>
          </w:tcPr>
          <w:p w14:paraId="29BB00D4" w14:textId="77777777" w:rsidR="00522C6C" w:rsidRPr="00F57173" w:rsidRDefault="00522C6C" w:rsidP="00FB4259">
            <w:pPr>
              <w:pStyle w:val="section1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Operações Financeiras / Crédito Externo</w:t>
            </w:r>
          </w:p>
        </w:tc>
        <w:tc>
          <w:tcPr>
            <w:tcW w:w="3686" w:type="dxa"/>
          </w:tcPr>
          <w:p w14:paraId="061B8874" w14:textId="77777777" w:rsidR="00522C6C" w:rsidRPr="00012839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012839">
              <w:rPr>
                <w:rFonts w:asciiTheme="minorHAnsi" w:hAnsiTheme="minorHAnsi" w:cstheme="minorHAnsi"/>
              </w:rPr>
              <w:t xml:space="preserve">Sem restrição de valores, todas devem ser </w:t>
            </w:r>
            <w:r>
              <w:rPr>
                <w:rFonts w:asciiTheme="minorHAnsi" w:hAnsiTheme="minorHAnsi" w:cstheme="minorHAnsi"/>
              </w:rPr>
              <w:t>previamente</w:t>
            </w:r>
            <w:r w:rsidRPr="00012839">
              <w:rPr>
                <w:rFonts w:asciiTheme="minorHAnsi" w:hAnsiTheme="minorHAnsi" w:cstheme="minorHAnsi"/>
              </w:rPr>
              <w:t xml:space="preserve"> declaradas</w:t>
            </w:r>
            <w:r>
              <w:rPr>
                <w:rFonts w:asciiTheme="minorHAnsi" w:hAnsiTheme="minorHAnsi" w:cstheme="minorHAnsi"/>
              </w:rPr>
              <w:t xml:space="preserve"> (Artigos 49, 51 e 52).</w:t>
            </w:r>
          </w:p>
        </w:tc>
        <w:tc>
          <w:tcPr>
            <w:tcW w:w="3530" w:type="dxa"/>
          </w:tcPr>
          <w:p w14:paraId="694E8FE6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registro perante o Bacen será obrigatório nas seguintes hipóteses (Artigo 23):</w:t>
            </w:r>
          </w:p>
          <w:p w14:paraId="05F34885" w14:textId="77777777" w:rsidR="00522C6C" w:rsidRDefault="00522C6C" w:rsidP="00522C6C">
            <w:pPr>
              <w:pStyle w:val="section1"/>
              <w:numPr>
                <w:ilvl w:val="0"/>
                <w:numId w:val="1"/>
              </w:numPr>
              <w:spacing w:line="288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1078C">
              <w:rPr>
                <w:rFonts w:asciiTheme="minorHAnsi" w:hAnsiTheme="minorHAnsi" w:cstheme="minorHAnsi"/>
              </w:rPr>
              <w:t>empréstimo direto, emissão de títulos no mercado internacional, emissão de títulos de colocação privada no mercado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078C">
              <w:rPr>
                <w:rFonts w:asciiTheme="minorHAnsi" w:hAnsiTheme="minorHAnsi" w:cstheme="minorHAnsi"/>
              </w:rPr>
              <w:t>interno e financiamento, inclusive de organismos internacionais, sempre que o valor da operação de crédito externo for igual ou superior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078C">
              <w:rPr>
                <w:rFonts w:asciiTheme="minorHAnsi" w:hAnsiTheme="minorHAnsi" w:cstheme="minorHAnsi"/>
              </w:rPr>
              <w:t>a US$1.000.000,00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1078C">
              <w:rPr>
                <w:rFonts w:asciiTheme="minorHAnsi" w:hAnsiTheme="minorHAnsi" w:cstheme="minorHAnsi"/>
              </w:rPr>
              <w:t>ou seu equivalente em outras moedas</w:t>
            </w:r>
          </w:p>
          <w:p w14:paraId="6131C140" w14:textId="77777777" w:rsidR="00522C6C" w:rsidRDefault="00522C6C" w:rsidP="00522C6C">
            <w:pPr>
              <w:pStyle w:val="section1"/>
              <w:numPr>
                <w:ilvl w:val="0"/>
                <w:numId w:val="1"/>
              </w:numPr>
              <w:spacing w:line="288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1078C">
              <w:rPr>
                <w:rFonts w:asciiTheme="minorHAnsi" w:hAnsiTheme="minorHAnsi" w:cstheme="minorHAnsi"/>
              </w:rPr>
              <w:t>importação financiada de bens ou serviços com prazo de pagamento superior a 180 dias, sempre que 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078C">
              <w:rPr>
                <w:rFonts w:asciiTheme="minorHAnsi" w:hAnsiTheme="minorHAnsi" w:cstheme="minorHAnsi"/>
              </w:rPr>
              <w:t>valor da operação de crédito externo for igual ou superior a US$500.000,00 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078C">
              <w:rPr>
                <w:rFonts w:asciiTheme="minorHAnsi" w:hAnsiTheme="minorHAnsi" w:cstheme="minorHAnsi"/>
              </w:rPr>
              <w:t xml:space="preserve">seu equivalente em outras moedas; </w:t>
            </w:r>
            <w:r>
              <w:rPr>
                <w:rFonts w:asciiTheme="minorHAnsi" w:hAnsiTheme="minorHAnsi" w:cstheme="minorHAnsi"/>
              </w:rPr>
              <w:t>e</w:t>
            </w:r>
          </w:p>
          <w:p w14:paraId="4CCF9129" w14:textId="77777777" w:rsidR="00522C6C" w:rsidRPr="00E87543" w:rsidRDefault="00522C6C" w:rsidP="00522C6C">
            <w:pPr>
              <w:pStyle w:val="section1"/>
              <w:numPr>
                <w:ilvl w:val="0"/>
                <w:numId w:val="1"/>
              </w:numPr>
              <w:spacing w:line="288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E87543">
              <w:rPr>
                <w:rFonts w:asciiTheme="minorHAnsi" w:hAnsiTheme="minorHAnsi" w:cstheme="minorHAnsi"/>
              </w:rPr>
              <w:t>recebimento antecipado de exportação e arrendamento mercantil financeiro externo, com prazo de pagamento superior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87543">
              <w:rPr>
                <w:rFonts w:asciiTheme="minorHAnsi" w:hAnsiTheme="minorHAnsi" w:cstheme="minorHAnsi"/>
              </w:rPr>
              <w:t>a 360 dias, sempre que o valor da operação de crédito externo for igual ou superior a US$1.000.000,00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87543">
              <w:rPr>
                <w:rFonts w:asciiTheme="minorHAnsi" w:hAnsiTheme="minorHAnsi" w:cstheme="minorHAnsi"/>
              </w:rPr>
              <w:t>ou seu equivalente em outras moedas.</w:t>
            </w:r>
          </w:p>
        </w:tc>
      </w:tr>
      <w:tr w:rsidR="00522C6C" w:rsidRPr="001465A6" w14:paraId="6B927D87" w14:textId="77777777" w:rsidTr="00FB4259">
        <w:tc>
          <w:tcPr>
            <w:tcW w:w="1838" w:type="dxa"/>
          </w:tcPr>
          <w:p w14:paraId="00220D74" w14:textId="77777777" w:rsidR="00522C6C" w:rsidRDefault="00522C6C" w:rsidP="00FB4259">
            <w:pPr>
              <w:pStyle w:val="section1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Investimento Estrangeiro Direto</w:t>
            </w:r>
          </w:p>
        </w:tc>
        <w:tc>
          <w:tcPr>
            <w:tcW w:w="3686" w:type="dxa"/>
          </w:tcPr>
          <w:p w14:paraId="356AD25D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012839">
              <w:rPr>
                <w:rFonts w:asciiTheme="minorHAnsi" w:hAnsiTheme="minorHAnsi" w:cstheme="minorHAnsi"/>
              </w:rPr>
              <w:t xml:space="preserve">Sem restrição de valores, todas devem ser </w:t>
            </w:r>
            <w:r>
              <w:rPr>
                <w:rFonts w:asciiTheme="minorHAnsi" w:hAnsiTheme="minorHAnsi" w:cstheme="minorHAnsi"/>
              </w:rPr>
              <w:t xml:space="preserve">previamente </w:t>
            </w:r>
            <w:r w:rsidRPr="00012839">
              <w:rPr>
                <w:rFonts w:asciiTheme="minorHAnsi" w:hAnsiTheme="minorHAnsi" w:cstheme="minorHAnsi"/>
              </w:rPr>
              <w:t>declaradas</w:t>
            </w:r>
            <w:r>
              <w:rPr>
                <w:rFonts w:asciiTheme="minorHAnsi" w:hAnsiTheme="minorHAnsi" w:cstheme="minorHAnsi"/>
              </w:rPr>
              <w:t xml:space="preserve"> (Artigos 30, 32, 33 e </w:t>
            </w:r>
            <w:r>
              <w:rPr>
                <w:rFonts w:asciiTheme="minorHAnsi" w:hAnsiTheme="minorHAnsi" w:cstheme="minorHAnsi"/>
              </w:rPr>
              <w:lastRenderedPageBreak/>
              <w:t>34).</w:t>
            </w:r>
          </w:p>
        </w:tc>
        <w:tc>
          <w:tcPr>
            <w:tcW w:w="3530" w:type="dxa"/>
          </w:tcPr>
          <w:p w14:paraId="5E150E9B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O registro perante o Bacen será obrigatório nas seguintes </w:t>
            </w:r>
            <w:r>
              <w:rPr>
                <w:rFonts w:asciiTheme="minorHAnsi" w:hAnsiTheme="minorHAnsi" w:cstheme="minorHAnsi"/>
              </w:rPr>
              <w:lastRenderedPageBreak/>
              <w:t>hipóteses (Artigo 32):</w:t>
            </w:r>
          </w:p>
          <w:p w14:paraId="68DE29D9" w14:textId="77777777" w:rsidR="00522C6C" w:rsidRDefault="00522C6C" w:rsidP="00522C6C">
            <w:pPr>
              <w:pStyle w:val="section1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quando </w:t>
            </w:r>
            <w:r w:rsidRPr="00324A5E">
              <w:rPr>
                <w:rFonts w:asciiTheme="minorHAnsi" w:hAnsiTheme="minorHAnsi" w:cstheme="minorHAnsi"/>
              </w:rPr>
              <w:t>ocorrer transferência financeira relacionada a investidor não residente de valor igual ou superior a US$100.000,00 ou seu equivalente em outras moedas;</w:t>
            </w:r>
          </w:p>
          <w:p w14:paraId="2DF845FF" w14:textId="77777777" w:rsidR="00522C6C" w:rsidRDefault="00522C6C" w:rsidP="00522C6C">
            <w:pPr>
              <w:pStyle w:val="section1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quando</w:t>
            </w:r>
            <w:r w:rsidRPr="00324A5E">
              <w:rPr>
                <w:rFonts w:asciiTheme="minorHAnsi" w:hAnsiTheme="minorHAnsi" w:cstheme="minorHAnsi"/>
              </w:rPr>
              <w:t xml:space="preserve"> ocorrer movimentação</w:t>
            </w:r>
            <w:r>
              <w:rPr>
                <w:rFonts w:asciiTheme="minorHAnsi" w:hAnsiTheme="minorHAnsi" w:cstheme="minorHAnsi"/>
              </w:rPr>
              <w:t xml:space="preserve"> financeira </w:t>
            </w:r>
            <w:r w:rsidRPr="00324A5E">
              <w:rPr>
                <w:rFonts w:asciiTheme="minorHAnsi" w:hAnsiTheme="minorHAnsi" w:cstheme="minorHAnsi"/>
              </w:rPr>
              <w:t>de valor igual ou superior a US$100.000,00 ou seu equivalente em outras moedas; ou</w:t>
            </w:r>
          </w:p>
          <w:p w14:paraId="28A20B26" w14:textId="77777777" w:rsidR="00522C6C" w:rsidRPr="008F2872" w:rsidRDefault="00522C6C" w:rsidP="00522C6C">
            <w:pPr>
              <w:pStyle w:val="section1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8F2872">
              <w:rPr>
                <w:rFonts w:asciiTheme="minorHAnsi" w:hAnsiTheme="minorHAnsi" w:cstheme="minorHAnsi"/>
              </w:rPr>
              <w:t>a data-base das declarações periódicas, para os receptores sujeitos a tais declarações.</w:t>
            </w:r>
          </w:p>
        </w:tc>
      </w:tr>
      <w:tr w:rsidR="00522C6C" w:rsidRPr="001465A6" w14:paraId="6E35F297" w14:textId="77777777" w:rsidTr="00FB4259">
        <w:tc>
          <w:tcPr>
            <w:tcW w:w="1838" w:type="dxa"/>
          </w:tcPr>
          <w:p w14:paraId="6DE6A43E" w14:textId="77777777" w:rsidR="00522C6C" w:rsidRDefault="00522C6C" w:rsidP="00FB4259">
            <w:pPr>
              <w:pStyle w:val="section1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Declaração Trimestral</w:t>
            </w:r>
          </w:p>
        </w:tc>
        <w:tc>
          <w:tcPr>
            <w:tcW w:w="3686" w:type="dxa"/>
          </w:tcPr>
          <w:p w14:paraId="4437D6A2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Sociedades receptoras de </w:t>
            </w:r>
            <w:r w:rsidRPr="008634A1">
              <w:rPr>
                <w:rFonts w:asciiTheme="minorHAnsi" w:hAnsiTheme="minorHAnsi" w:cstheme="minorHAnsi"/>
              </w:rPr>
              <w:t>investimento estrangeiro direto com ativos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34A1">
              <w:rPr>
                <w:rFonts w:asciiTheme="minorHAnsi" w:hAnsiTheme="minorHAnsi" w:cstheme="minorHAnsi"/>
              </w:rPr>
              <w:t>ou patrimônio líquido igual ou superior a R$250.000.000,00 devem prestar 4 declarações econômico-financeiras ao ano</w:t>
            </w:r>
            <w:r>
              <w:rPr>
                <w:rFonts w:asciiTheme="minorHAnsi" w:hAnsiTheme="minorHAnsi" w:cstheme="minorHAnsi"/>
              </w:rPr>
              <w:t xml:space="preserve"> (Artigo 34-A)</w:t>
            </w:r>
          </w:p>
        </w:tc>
        <w:tc>
          <w:tcPr>
            <w:tcW w:w="3530" w:type="dxa"/>
          </w:tcPr>
          <w:p w14:paraId="2D31E549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Receptores de investimento estrangeiro direto que, na data base da declaração trimestral (</w:t>
            </w:r>
            <w:r w:rsidRPr="00746DD0">
              <w:rPr>
                <w:rFonts w:asciiTheme="minorHAnsi" w:hAnsiTheme="minorHAnsi" w:cstheme="minorHAnsi"/>
              </w:rPr>
              <w:t>31 de março, 30 de junho e 30 de setembro</w:t>
            </w:r>
            <w:r>
              <w:rPr>
                <w:rFonts w:asciiTheme="minorHAnsi" w:hAnsiTheme="minorHAnsi" w:cstheme="minorHAnsi"/>
              </w:rPr>
              <w:t>), tiver ativos em valor igual ou superior a R$300.000.000,00 (Artigo 38).</w:t>
            </w:r>
          </w:p>
        </w:tc>
      </w:tr>
      <w:tr w:rsidR="00522C6C" w:rsidRPr="001465A6" w14:paraId="063C0707" w14:textId="77777777" w:rsidTr="00FB4259">
        <w:tc>
          <w:tcPr>
            <w:tcW w:w="1838" w:type="dxa"/>
          </w:tcPr>
          <w:p w14:paraId="26A8793A" w14:textId="77777777" w:rsidR="00522C6C" w:rsidRDefault="00522C6C" w:rsidP="00FB4259">
            <w:pPr>
              <w:pStyle w:val="section1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Declaração Anual</w:t>
            </w:r>
          </w:p>
        </w:tc>
        <w:tc>
          <w:tcPr>
            <w:tcW w:w="3686" w:type="dxa"/>
          </w:tcPr>
          <w:p w14:paraId="283F6EFA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Sem previsão correspondente na Circular </w:t>
            </w:r>
            <w:r w:rsidRPr="00181636">
              <w:rPr>
                <w:rFonts w:asciiTheme="minorHAnsi" w:hAnsiTheme="minorHAnsi" w:cstheme="minorHAnsi"/>
              </w:rPr>
              <w:t>nº 3.689/2013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24913C8C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entanto, a Circular nº 3.795, revogada pelo art. 45, inciso XII da </w:t>
            </w:r>
            <w:r w:rsidRPr="00A04B55">
              <w:rPr>
                <w:rFonts w:asciiTheme="minorHAnsi" w:hAnsiTheme="minorHAnsi" w:cstheme="minorHAnsi"/>
              </w:rPr>
              <w:t>Circular nº 3.689/2013</w:t>
            </w:r>
            <w:r>
              <w:rPr>
                <w:rFonts w:asciiTheme="minorHAnsi" w:hAnsiTheme="minorHAnsi" w:cstheme="minorHAnsi"/>
              </w:rPr>
              <w:t>, estabelecia em seu artigo 4º, §3º, os seguintes parâmetros:</w:t>
            </w:r>
          </w:p>
          <w:p w14:paraId="72CC8486" w14:textId="77777777" w:rsidR="00522C6C" w:rsidRPr="000E68B6" w:rsidRDefault="00522C6C" w:rsidP="00522C6C">
            <w:pPr>
              <w:pStyle w:val="section1"/>
              <w:numPr>
                <w:ilvl w:val="0"/>
                <w:numId w:val="3"/>
              </w:numPr>
              <w:spacing w:line="288" w:lineRule="auto"/>
              <w:ind w:left="29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para </w:t>
            </w:r>
            <w:r w:rsidRPr="00144BAC">
              <w:rPr>
                <w:rFonts w:asciiTheme="minorHAnsi" w:hAnsiTheme="minorHAnsi" w:cstheme="minorHAnsi"/>
              </w:rPr>
              <w:t xml:space="preserve">as pessoas jurídicas sediadas no País, com participação direta de não </w:t>
            </w:r>
            <w:r w:rsidRPr="00144BAC">
              <w:rPr>
                <w:rFonts w:asciiTheme="minorHAnsi" w:hAnsiTheme="minorHAnsi" w:cstheme="minorHAnsi"/>
              </w:rPr>
              <w:lastRenderedPageBreak/>
              <w:t>residentes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4BAC">
              <w:rPr>
                <w:rFonts w:asciiTheme="minorHAnsi" w:hAnsiTheme="minorHAnsi" w:cstheme="minorHAnsi"/>
              </w:rPr>
              <w:t>em seu capital social, em qualquer montante, e com patrimônio líquido igual ou superior ao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68B6">
              <w:rPr>
                <w:rFonts w:asciiTheme="minorHAnsi" w:hAnsiTheme="minorHAnsi" w:cstheme="minorHAnsi"/>
              </w:rPr>
              <w:t>equivalente a US$100</w:t>
            </w:r>
            <w:r>
              <w:rPr>
                <w:rFonts w:asciiTheme="minorHAnsi" w:hAnsiTheme="minorHAnsi" w:cstheme="minorHAnsi"/>
              </w:rPr>
              <w:t>.000,00</w:t>
            </w:r>
            <w:r w:rsidRPr="000E68B6">
              <w:rPr>
                <w:rFonts w:asciiTheme="minorHAnsi" w:hAnsiTheme="minorHAnsi" w:cstheme="minorHAnsi"/>
              </w:rPr>
              <w:t xml:space="preserve"> 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68B6">
              <w:rPr>
                <w:rFonts w:asciiTheme="minorHAnsi" w:hAnsiTheme="minorHAnsi" w:cstheme="minorHAnsi"/>
              </w:rPr>
              <w:t>respectiva data-base;</w:t>
            </w:r>
          </w:p>
          <w:p w14:paraId="2B04F554" w14:textId="77777777" w:rsidR="00522C6C" w:rsidRPr="00A04B55" w:rsidRDefault="00522C6C" w:rsidP="00522C6C">
            <w:pPr>
              <w:pStyle w:val="section1"/>
              <w:numPr>
                <w:ilvl w:val="0"/>
                <w:numId w:val="3"/>
              </w:numPr>
              <w:spacing w:line="288" w:lineRule="auto"/>
              <w:ind w:left="29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para </w:t>
            </w:r>
            <w:r w:rsidRPr="00144BAC">
              <w:rPr>
                <w:rFonts w:asciiTheme="minorHAnsi" w:hAnsiTheme="minorHAnsi" w:cstheme="minorHAnsi"/>
              </w:rPr>
              <w:t>os fundos de investimento com cotistas não residentes e patrimônio líquido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4B55">
              <w:rPr>
                <w:rFonts w:asciiTheme="minorHAnsi" w:hAnsiTheme="minorHAnsi" w:cstheme="minorHAnsi"/>
              </w:rPr>
              <w:t>igual ou superior ao equivalente a US$100</w:t>
            </w:r>
            <w:r>
              <w:rPr>
                <w:rFonts w:asciiTheme="minorHAnsi" w:hAnsiTheme="minorHAnsi" w:cstheme="minorHAnsi"/>
              </w:rPr>
              <w:t>.000.000,00</w:t>
            </w:r>
            <w:r w:rsidRPr="00A04B55">
              <w:rPr>
                <w:rFonts w:asciiTheme="minorHAnsi" w:hAnsiTheme="minorHAnsi" w:cstheme="minorHAnsi"/>
              </w:rPr>
              <w:t>, na respectiva data-base, por meio de seus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4B55">
              <w:rPr>
                <w:rFonts w:asciiTheme="minorHAnsi" w:hAnsiTheme="minorHAnsi" w:cstheme="minorHAnsi"/>
              </w:rPr>
              <w:t>administradores; e</w:t>
            </w:r>
          </w:p>
          <w:p w14:paraId="784459AD" w14:textId="77777777" w:rsidR="00522C6C" w:rsidRPr="00A04B55" w:rsidRDefault="00522C6C" w:rsidP="00522C6C">
            <w:pPr>
              <w:pStyle w:val="section1"/>
              <w:numPr>
                <w:ilvl w:val="0"/>
                <w:numId w:val="3"/>
              </w:numPr>
              <w:spacing w:line="288" w:lineRule="auto"/>
              <w:ind w:left="29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para </w:t>
            </w:r>
            <w:r w:rsidRPr="00144BAC">
              <w:rPr>
                <w:rFonts w:asciiTheme="minorHAnsi" w:hAnsiTheme="minorHAnsi" w:cstheme="minorHAnsi"/>
              </w:rPr>
              <w:t>as pessoas jurídicas sediadas no País, com saldo devedor total de créditos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4B55">
              <w:rPr>
                <w:rFonts w:asciiTheme="minorHAnsi" w:hAnsiTheme="minorHAnsi" w:cstheme="minorHAnsi"/>
              </w:rPr>
              <w:t>comerciais de curto prazo (exigíveis em até 360 dias) concedidos por não residentes igual 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4B55">
              <w:rPr>
                <w:rFonts w:asciiTheme="minorHAnsi" w:hAnsiTheme="minorHAnsi" w:cstheme="minorHAnsi"/>
              </w:rPr>
              <w:t>superior ao equivalente a US$10</w:t>
            </w:r>
            <w:r>
              <w:rPr>
                <w:rFonts w:asciiTheme="minorHAnsi" w:hAnsiTheme="minorHAnsi" w:cstheme="minorHAnsi"/>
              </w:rPr>
              <w:t>.000.000,00</w:t>
            </w:r>
            <w:r w:rsidRPr="00A04B55">
              <w:rPr>
                <w:rFonts w:asciiTheme="minorHAnsi" w:hAnsiTheme="minorHAnsi" w:cstheme="minorHAnsi"/>
              </w:rPr>
              <w:t>, na respectiva data-base.</w:t>
            </w:r>
          </w:p>
        </w:tc>
        <w:tc>
          <w:tcPr>
            <w:tcW w:w="3530" w:type="dxa"/>
          </w:tcPr>
          <w:p w14:paraId="71312A98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Receptores de investimento estrangeiro direto que, </w:t>
            </w:r>
            <w:r w:rsidRPr="00154E22">
              <w:rPr>
                <w:rFonts w:asciiTheme="minorHAnsi" w:hAnsiTheme="minorHAnsi" w:cstheme="minorHAnsi"/>
              </w:rPr>
              <w:t>na data-base de 31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4E22">
              <w:rPr>
                <w:rFonts w:asciiTheme="minorHAnsi" w:hAnsiTheme="minorHAnsi" w:cstheme="minorHAnsi"/>
              </w:rPr>
              <w:t>dezembro do ano anterior, tiver ativos totais em valor igual ou superior a</w:t>
            </w:r>
            <w:r>
              <w:rPr>
                <w:rFonts w:asciiTheme="minorHAnsi" w:hAnsiTheme="minorHAnsi" w:cstheme="minorHAnsi"/>
              </w:rPr>
              <w:t xml:space="preserve"> R$100.000.000,00 (Artigo 39).</w:t>
            </w:r>
          </w:p>
        </w:tc>
      </w:tr>
      <w:tr w:rsidR="00522C6C" w:rsidRPr="001465A6" w14:paraId="1BBEC4BE" w14:textId="77777777" w:rsidTr="00FB4259">
        <w:tc>
          <w:tcPr>
            <w:tcW w:w="1838" w:type="dxa"/>
          </w:tcPr>
          <w:p w14:paraId="47E64A1F" w14:textId="77777777" w:rsidR="00522C6C" w:rsidRDefault="00522C6C" w:rsidP="00FB4259">
            <w:pPr>
              <w:pStyle w:val="section1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Declaração Quinquenal</w:t>
            </w:r>
          </w:p>
        </w:tc>
        <w:tc>
          <w:tcPr>
            <w:tcW w:w="3686" w:type="dxa"/>
          </w:tcPr>
          <w:p w14:paraId="68B6520A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Sem previsão correspondente na Circular </w:t>
            </w:r>
            <w:r w:rsidRPr="00181636">
              <w:rPr>
                <w:rFonts w:asciiTheme="minorHAnsi" w:hAnsiTheme="minorHAnsi" w:cstheme="minorHAnsi"/>
              </w:rPr>
              <w:t>nº 3.689/2013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35762E1D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entanto, a Circular nº 3.795, revogada pelo art. 45, inciso XII da </w:t>
            </w:r>
            <w:r w:rsidRPr="00A04B55">
              <w:rPr>
                <w:rFonts w:asciiTheme="minorHAnsi" w:hAnsiTheme="minorHAnsi" w:cstheme="minorHAnsi"/>
              </w:rPr>
              <w:t>Circular nº 3.689/2013</w:t>
            </w:r>
            <w:r>
              <w:rPr>
                <w:rFonts w:asciiTheme="minorHAnsi" w:hAnsiTheme="minorHAnsi" w:cstheme="minorHAnsi"/>
              </w:rPr>
              <w:t>, estabelecia em seu artigo 4º, §2º, os seguintes parâmetros:</w:t>
            </w:r>
          </w:p>
          <w:p w14:paraId="11D3D845" w14:textId="77777777" w:rsidR="00522C6C" w:rsidRPr="008E704B" w:rsidRDefault="00522C6C" w:rsidP="00522C6C">
            <w:pPr>
              <w:pStyle w:val="section1"/>
              <w:numPr>
                <w:ilvl w:val="0"/>
                <w:numId w:val="4"/>
              </w:numPr>
              <w:spacing w:line="288" w:lineRule="auto"/>
              <w:ind w:left="29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para </w:t>
            </w:r>
            <w:r w:rsidRPr="008E704B">
              <w:rPr>
                <w:rFonts w:asciiTheme="minorHAnsi" w:hAnsiTheme="minorHAnsi" w:cstheme="minorHAnsi"/>
              </w:rPr>
              <w:t>as pessoas jurídicas sediadas no País, com participação direta de não residentes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E704B">
              <w:rPr>
                <w:rFonts w:asciiTheme="minorHAnsi" w:hAnsiTheme="minorHAnsi" w:cstheme="minorHAnsi"/>
              </w:rPr>
              <w:t>em seu capital social, em qualquer montante, 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E704B">
              <w:rPr>
                <w:rFonts w:asciiTheme="minorHAnsi" w:hAnsiTheme="minorHAnsi" w:cstheme="minorHAnsi"/>
              </w:rPr>
              <w:t>respectiva data-base;</w:t>
            </w:r>
          </w:p>
          <w:p w14:paraId="071C785B" w14:textId="77777777" w:rsidR="00522C6C" w:rsidRPr="00F15C60" w:rsidRDefault="00522C6C" w:rsidP="00522C6C">
            <w:pPr>
              <w:pStyle w:val="section1"/>
              <w:numPr>
                <w:ilvl w:val="0"/>
                <w:numId w:val="4"/>
              </w:numPr>
              <w:spacing w:line="288" w:lineRule="auto"/>
              <w:ind w:left="29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 o</w:t>
            </w:r>
            <w:r w:rsidRPr="008E704B">
              <w:rPr>
                <w:rFonts w:asciiTheme="minorHAnsi" w:hAnsiTheme="minorHAnsi" w:cstheme="minorHAnsi"/>
              </w:rPr>
              <w:t xml:space="preserve">s fundos de investimento com cotistas não </w:t>
            </w:r>
            <w:r w:rsidRPr="008E704B">
              <w:rPr>
                <w:rFonts w:asciiTheme="minorHAnsi" w:hAnsiTheme="minorHAnsi" w:cstheme="minorHAnsi"/>
              </w:rPr>
              <w:lastRenderedPageBreak/>
              <w:t>residentes na respectiva data-base,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5C60">
              <w:rPr>
                <w:rFonts w:asciiTheme="minorHAnsi" w:hAnsiTheme="minorHAnsi" w:cstheme="minorHAnsi"/>
              </w:rPr>
              <w:t>por meio de seus administradores; e</w:t>
            </w:r>
          </w:p>
          <w:p w14:paraId="6A41F1C1" w14:textId="77777777" w:rsidR="00522C6C" w:rsidRDefault="00522C6C" w:rsidP="00522C6C">
            <w:pPr>
              <w:pStyle w:val="section1"/>
              <w:numPr>
                <w:ilvl w:val="0"/>
                <w:numId w:val="4"/>
              </w:numPr>
              <w:spacing w:line="288" w:lineRule="auto"/>
              <w:ind w:left="29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</w:t>
            </w:r>
            <w:r w:rsidRPr="008E704B">
              <w:rPr>
                <w:rFonts w:asciiTheme="minorHAnsi" w:hAnsiTheme="minorHAnsi" w:cstheme="minorHAnsi"/>
              </w:rPr>
              <w:t xml:space="preserve"> as pessoas jurídicas sediadas no País, com saldo devedor total de créditos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5C60">
              <w:rPr>
                <w:rFonts w:asciiTheme="minorHAnsi" w:hAnsiTheme="minorHAnsi" w:cstheme="minorHAnsi"/>
              </w:rPr>
              <w:t>comerciais de curto prazo (exigíveis em até 360 dias) concedidos por não residentes igual ou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32F6">
              <w:rPr>
                <w:rFonts w:asciiTheme="minorHAnsi" w:hAnsiTheme="minorHAnsi" w:cstheme="minorHAnsi"/>
              </w:rPr>
              <w:t>superior ao equivalente a US$1</w:t>
            </w:r>
            <w:r>
              <w:rPr>
                <w:rFonts w:asciiTheme="minorHAnsi" w:hAnsiTheme="minorHAnsi" w:cstheme="minorHAnsi"/>
              </w:rPr>
              <w:t xml:space="preserve">.000.000,00 </w:t>
            </w:r>
            <w:r w:rsidRPr="008E704B">
              <w:rPr>
                <w:rFonts w:asciiTheme="minorHAnsi" w:hAnsiTheme="minorHAnsi" w:cstheme="minorHAnsi"/>
              </w:rPr>
              <w:t>na respectiva data-base.</w:t>
            </w:r>
          </w:p>
        </w:tc>
        <w:tc>
          <w:tcPr>
            <w:tcW w:w="3530" w:type="dxa"/>
          </w:tcPr>
          <w:p w14:paraId="7EE469E0" w14:textId="77777777" w:rsidR="00522C6C" w:rsidRDefault="00522C6C" w:rsidP="00FB4259">
            <w:pPr>
              <w:pStyle w:val="section1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Receptores de investimento estrangeiro direto, cuja na data base é de </w:t>
            </w:r>
            <w:r w:rsidRPr="007D735A">
              <w:rPr>
                <w:rFonts w:asciiTheme="minorHAnsi" w:hAnsiTheme="minorHAnsi" w:cstheme="minorHAnsi"/>
              </w:rPr>
              <w:t>31 de dezembro d</w:t>
            </w:r>
            <w:r>
              <w:rPr>
                <w:rFonts w:asciiTheme="minorHAnsi" w:hAnsiTheme="minorHAnsi" w:cstheme="minorHAnsi"/>
              </w:rPr>
              <w:t>o</w:t>
            </w:r>
            <w:r w:rsidRPr="007D735A">
              <w:rPr>
                <w:rFonts w:asciiTheme="minorHAnsi" w:hAnsiTheme="minorHAnsi" w:cstheme="minorHAnsi"/>
              </w:rPr>
              <w:t xml:space="preserve"> ano calendário terminado em zero ou cinco</w:t>
            </w:r>
            <w:r>
              <w:rPr>
                <w:rFonts w:asciiTheme="minorHAnsi" w:hAnsiTheme="minorHAnsi" w:cstheme="minorHAnsi"/>
              </w:rPr>
              <w:t>, que na data base de 31 de dezembro do ano anterior, ti</w:t>
            </w:r>
            <w:r w:rsidRPr="002028AA">
              <w:rPr>
                <w:rFonts w:asciiTheme="minorHAnsi" w:hAnsiTheme="minorHAnsi" w:cstheme="minorHAnsi"/>
              </w:rPr>
              <w:t>ver ativos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028AA">
              <w:rPr>
                <w:rFonts w:asciiTheme="minorHAnsi" w:hAnsiTheme="minorHAnsi" w:cstheme="minorHAnsi"/>
              </w:rPr>
              <w:t>totais em valor igual ou superior a R$100.000,00 (</w:t>
            </w:r>
            <w:r>
              <w:rPr>
                <w:rFonts w:asciiTheme="minorHAnsi" w:hAnsiTheme="minorHAnsi" w:cstheme="minorHAnsi"/>
              </w:rPr>
              <w:t>Artigo 40</w:t>
            </w:r>
            <w:r w:rsidRPr="002028AA">
              <w:rPr>
                <w:rFonts w:asciiTheme="minorHAnsi" w:hAnsiTheme="minorHAnsi" w:cstheme="minorHAnsi"/>
              </w:rPr>
              <w:t>).</w:t>
            </w:r>
          </w:p>
        </w:tc>
      </w:tr>
      <w:bookmarkEnd w:id="0"/>
    </w:tbl>
    <w:p w14:paraId="58A285E3" w14:textId="77777777" w:rsidR="00E271F7" w:rsidRPr="00522C6C" w:rsidRDefault="00E271F7">
      <w:pPr>
        <w:rPr>
          <w:lang w:val="pt-BR"/>
        </w:rPr>
      </w:pPr>
    </w:p>
    <w:sectPr w:rsidR="00E271F7" w:rsidRPr="00522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55380"/>
    <w:multiLevelType w:val="hybridMultilevel"/>
    <w:tmpl w:val="DEC4C258"/>
    <w:lvl w:ilvl="0" w:tplc="22AED0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F4965"/>
    <w:multiLevelType w:val="hybridMultilevel"/>
    <w:tmpl w:val="90860F3C"/>
    <w:lvl w:ilvl="0" w:tplc="5E48498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F0C7E"/>
    <w:multiLevelType w:val="hybridMultilevel"/>
    <w:tmpl w:val="DEC4C2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B35DC"/>
    <w:multiLevelType w:val="hybridMultilevel"/>
    <w:tmpl w:val="DEC4C2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236">
    <w:abstractNumId w:val="1"/>
  </w:num>
  <w:num w:numId="2" w16cid:durableId="987587515">
    <w:abstractNumId w:val="0"/>
  </w:num>
  <w:num w:numId="3" w16cid:durableId="1020543906">
    <w:abstractNumId w:val="3"/>
  </w:num>
  <w:num w:numId="4" w16cid:durableId="1655910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6C"/>
    <w:rsid w:val="00522C6C"/>
    <w:rsid w:val="00814218"/>
    <w:rsid w:val="009E6B0A"/>
    <w:rsid w:val="009F2C37"/>
    <w:rsid w:val="00BC7D06"/>
    <w:rsid w:val="00E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A9C2"/>
  <w15:chartTrackingRefBased/>
  <w15:docId w15:val="{FFE1EA7B-D6D1-4491-BF9C-49E6D651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C6C"/>
    <w:pPr>
      <w:spacing w:after="0"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22C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1"/>
    <w:basedOn w:val="Normal"/>
    <w:rsid w:val="00522C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3499</Characters>
  <Application>Microsoft Office Word</Application>
  <DocSecurity>0</DocSecurity>
  <Lines>124</Lines>
  <Paragraphs>32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Scheila Chaves</dc:creator>
  <cp:keywords/>
  <dc:description/>
  <cp:lastModifiedBy>Scheila Chaves</cp:lastModifiedBy>
  <cp:revision>1</cp:revision>
  <dcterms:created xsi:type="dcterms:W3CDTF">2023-01-16T18:41:00Z</dcterms:created>
  <dcterms:modified xsi:type="dcterms:W3CDTF">2023-01-16T18:42:00Z</dcterms:modified>
</cp:coreProperties>
</file>